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83.png" ContentType="image/png"/>
  <Override PartName="/word/media/rId79.png" ContentType="image/png"/>
  <Override PartName="/word/media/rId77.png" ContentType="image/png"/>
  <Override PartName="/word/media/rId80.png" ContentType="image/png"/>
  <Override PartName="/word/media/rId81.png" ContentType="image/png"/>
  <Override PartName="/word/media/rId8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3</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24</w:t>
      </w:r>
      <w:r>
        <w:t xml:space="preserve"> </w:t>
      </w:r>
      <w:r>
        <w:t xml:space="preserve">November,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Under A Bridge, Seattle, Washington, 00000, USA</w:t>
      </w:r>
      <w:r>
        <w:br/>
      </w:r>
      <w:r>
        <w:rPr>
          <w:vertAlign w:val="superscript"/>
        </w:rPr>
        <w:t xml:space="preserve">3</w:t>
      </w:r>
      <w:r>
        <w:t xml:space="preserve"> </w:t>
      </w:r>
      <w:r>
        <w:t xml:space="preserve">Mount Hood Environmental, PO Box 4282, McCall, Idaho, 83638,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all of which have become depleted in recent decades. Declines in survival of local juvenile Chinook Salmon have been associated with hydrosystem passage</w:t>
      </w:r>
      <w:r>
        <w:t xml:space="preserve"> </w:t>
      </w:r>
      <w:r>
        <w:t xml:space="preserve">(Schaller et al. 2014)</w:t>
      </w:r>
      <w:r>
        <w:t xml:space="preserve">, ocean conditions and regional climate</w:t>
      </w:r>
      <w:r>
        <w:t xml:space="preserve"> </w:t>
      </w:r>
      <w:r>
        <w:t xml:space="preserve">(Welch et al. 2021; Gosselin et al. 2021)</w:t>
      </w:r>
      <w:r>
        <w:t xml:space="preserve">, and changes to the freshwater habitat including removal of beavers, river channel simplification, water withdrawals, and the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among others</w:t>
      </w:r>
      <w:r>
        <w:t xml:space="preserve"> </w:t>
      </w:r>
      <w:r>
        <w:t xml:space="preserve">(OSC Team (Idaho Governor’s Office of Species Conservation and partners) 2019)</w:t>
      </w:r>
      <w:r>
        <w:t xml:space="preserve">. Moreoever, the abundance of returning adults are further impacted by ocean and downriver harvests, poor ocean conditions, and changes to the spawning migration corridor. Each of these factors have contributed, to varying and unknown extents, to reduced adult escapement, the primary metric used to assess population viability. In response to the decline in Chinook Salmon abundance from the myriad human activities and associated habitat degradation, action agencies have attempted to improve juvenile survival and adult spawning conditions by investing in the rehabilitation of tributary ecosystems.</w:t>
      </w:r>
    </w:p>
    <w:p>
      <w:pPr>
        <w:pStyle w:val="BodyText"/>
      </w:pPr>
      <w:r>
        <w:t xml:space="preserve">One potentially important, but perhaps under-appreciated source of mortality for Chinook Salmon is predation on emigrating juveniles by piscivorous fishes, including both native and non-native species. Dams and reservoirs in the Columbia River basin are the primary locations associated with high rates of predation on salmonids</w:t>
      </w:r>
      <w:r>
        <w:t xml:space="preserve"> </w:t>
      </w:r>
      <w:r>
        <w:t xml:space="preserve">(Petersen 1994; Ward et al. 1995)</w:t>
      </w:r>
      <w:r>
        <w:t xml:space="preserve">. There are generally two mechanisms that explain these high predation zones. First, migration rates of juvenile Chinook Salmon are reduced during reservoir passage</w:t>
      </w:r>
      <w:r>
        <w:t xml:space="preserve"> </w:t>
      </w:r>
      <w:r>
        <w:t xml:space="preserve">(Venditti et al. 2000)</w:t>
      </w:r>
      <w:r>
        <w:t xml:space="preserve">, thereby increasing the time migrating smolts are vulnerable to predation. Second, reservoirs and downstream tailraces created by dams on the Columbia and Snake rivers have created favorable slow-water habitat for several species of piscivorous fish known to consume juvenile Chinook Salmon including both non-native (e.g., Smallmouth Bass</w:t>
      </w:r>
      <w:r>
        <w:t xml:space="preserve"> </w:t>
      </w:r>
      <w:r>
        <w:rPr>
          <w:iCs/>
          <w:i/>
        </w:rPr>
        <w:t xml:space="preserve">Micropterus dolomieu</w:t>
      </w:r>
      <w:r>
        <w:t xml:space="preserve">, Walleye</w:t>
      </w:r>
      <w:r>
        <w:t xml:space="preserve"> </w:t>
      </w:r>
      <w:r>
        <w:rPr>
          <w:iCs/>
          <w:i/>
        </w:rPr>
        <w:t xml:space="preserve">Sander vitreus</w:t>
      </w:r>
      <w:r>
        <w:t xml:space="preserve">) and native (e.g., Northern Pikeminnow</w:t>
      </w:r>
      <w:r>
        <w:t xml:space="preserve"> </w:t>
      </w:r>
      <w:r>
        <w:rPr>
          <w:iCs/>
          <w:i/>
        </w:rPr>
        <w:t xml:space="preserve">Ptychocheilus oregonensis</w:t>
      </w:r>
      <w:r>
        <w:t xml:space="preserve">) species. In the Lower Granite Reservoir on the Snake River, juvenile Chinook Salmon are common prey items of non-native Smallmouth Bass during some seasons</w:t>
      </w:r>
      <w:r>
        <w:t xml:space="preserve"> </w:t>
      </w:r>
      <w:r>
        <w:t xml:space="preserve">(Erhardt et al. 2018)</w:t>
      </w:r>
      <w:r>
        <w:t xml:space="preserve">. And non-native Walleye are considered a potentially important source for juvenile Chinook Salmon mortality in the Snake River</w:t>
      </w:r>
      <w:r>
        <w:t xml:space="preserve">(Widener et al. 2021)</w:t>
      </w:r>
      <w:r>
        <w:t xml:space="preserve">, particularly as their abundance has significantly increased surrounding Snake River dam facilities between 2008 and 2020 related to their preference for slow water habitats.</w:t>
      </w:r>
    </w:p>
    <w:p>
      <w:pPr>
        <w:pStyle w:val="BodyText"/>
      </w:pPr>
      <w:r>
        <w:t xml:space="preserve">In addition to non-native species, Northern Pikeminnow are a native, piscivorous fish preferring warm, slow water habitats. Consequently, they too have benefited from dams on the Columbia River and become abundant predators on salmonid outmigrants</w:t>
      </w:r>
      <w:r>
        <w:t xml:space="preserve"> </w:t>
      </w:r>
      <w:r>
        <w:t xml:space="preserve">(Knutsen and Ward 1999)</w:t>
      </w:r>
      <w:r>
        <w:t xml:space="preserve">. Indeed, Northern Pikeminnow are estimated to consume 8% (16.4 million) of the estimated 200 million juvenile salmonids emigrating through the lower Snake and Columbia rivers, annually</w:t>
      </w:r>
      <w:r>
        <w:t xml:space="preserve"> </w:t>
      </w:r>
      <w:r>
        <w:t xml:space="preserve">(Beamesderfer et al. 1996)</w:t>
      </w:r>
      <w:r>
        <w:t xml:space="preserve">. Predation by piscivorous fishes, including Northern Pikeminnow, may have been a factor in the below-average survival of wild Chinook Salmon in 2020</w:t>
      </w:r>
      <w:r>
        <w:t xml:space="preserve"> </w:t>
      </w:r>
      <w:r>
        <w:t xml:space="preserve">(Widener et al. 2021)</w:t>
      </w:r>
      <w:r>
        <w:t xml:space="preserve">. However, there is a dearth of current data on piscivorous predator populations in the Columbia River.</w:t>
      </w:r>
    </w:p>
    <w:p>
      <w:pPr>
        <w:pStyle w:val="BodyText"/>
      </w:pPr>
      <w:r>
        <w:t xml:space="preserve">Habitats containing slower water velocities and other attributes that support piscivorous predators are not limited to dams and reservoirs. One such area is the Deadwater Slough in the Salmon River, Idaho which is an unnaturally slow and deep reach of the mainstem river approximately 1.5 kilometers in length and occupying 25.3 acres (Figure</w:t>
      </w:r>
      <w:r>
        <w:t xml:space="preserve"> </w:t>
      </w:r>
      <w:r>
        <w:t xml:space="preserve">1</w:t>
      </w:r>
      <w:r>
        <w:t xml:space="preserve">). The slough contains</w:t>
      </w:r>
      <w:r>
        <w:t xml:space="preserve"> </w:t>
      </w:r>
      <w:r>
        <w:t xml:space="preserve">“</w:t>
      </w:r>
      <w:r>
        <w:t xml:space="preserve">reservoir-like</w:t>
      </w:r>
      <w:r>
        <w:t xml:space="preserve">”</w:t>
      </w:r>
      <w:r>
        <w:t xml:space="preserve"> </w:t>
      </w:r>
      <w:r>
        <w:t xml:space="preserve">conditions which typically favor piscivorous fish predators like Northern Pikeminnow or Smallmouth Bass</w:t>
      </w:r>
      <w:r>
        <w:t xml:space="preserve"> </w:t>
      </w:r>
      <w:r>
        <w:t xml:space="preserve">(Watkins et al. 2015)</w:t>
      </w:r>
      <w:r>
        <w:t xml:space="preserve">, and further, lacks hydrological and structural features and fish cover (e.g., large wood or substrate, woody debris, bank undercuts) that can provide essential refuge from predation for juvenile fishes. As a result, predation of juvenile Chinook Salmon and other local ESA-listed salmonids (Sockeye Salmon</w:t>
      </w:r>
      <w:r>
        <w:t xml:space="preserve"> </w:t>
      </w:r>
      <w:r>
        <w:rPr>
          <w:iCs/>
          <w:i/>
        </w:rPr>
        <w:t xml:space="preserve">O. nerka</w:t>
      </w:r>
      <w:r>
        <w:t xml:space="preserve">, redband steelhead</w:t>
      </w:r>
      <w:r>
        <w:t xml:space="preserve"> </w:t>
      </w:r>
      <w:r>
        <w:rPr>
          <w:iCs/>
          <w:i/>
        </w:rPr>
        <w:t xml:space="preserve">O. mykiss gairdneri</w:t>
      </w:r>
      <w:r>
        <w:t xml:space="preserve">) has been cited as a concern for populations in the Upper Salmon River</w:t>
      </w:r>
    </w:p>
    <w:p>
      <w:pPr>
        <w:pStyle w:val="BodyText"/>
      </w:pPr>
      <w:r>
        <w:t xml:space="preserve">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w:t>
      </w:r>
    </w:p>
    <w:p>
      <w:pPr>
        <w:pStyle w:val="BodyText"/>
      </w:pPr>
      <w:r>
        <w:t xml:space="preserve">The Deadwater Slough is in a reach of the Salmon River believed to be a historically important overwinter rearing area for DSR emigrants. Moreover, the slough is part of the migratory pathway for not only juvenile Chinook Salmon (both DSR and NRR emigrants), but also for the endangered Snake River Sockeye Salmon population and several population of threatened Snake River steelhead. As such, the main Salmon River has been the target of recent radio telemetry studies to examine the downstream movement, distribution, and (apparent survival) of juvenile salmonid emigrants.</w:t>
      </w:r>
      <w:r>
        <w:t xml:space="preserve"> </w:t>
      </w:r>
      <w:r>
        <w:t xml:space="preserve">Axel et al. (2015)</w:t>
      </w:r>
      <w:r>
        <w:t xml:space="preserve"> </w:t>
      </w:r>
      <w:r>
        <w:t xml:space="preserve">demonstrated decreased rates of emigration and survival for Sockeye Salmon from Redfish Lake during the spring emigration. Further, recent telemetry studies of Chinook salmon emigration during fall and early winter months indicated a decreased transition probability in the reach spanning Deadwater Slough (approximately 10% less than surrounding reaches).</w:t>
      </w:r>
    </w:p>
    <w:p>
      <w:pPr>
        <w:pStyle w:val="BodyText"/>
      </w:pPr>
      <w:r>
        <w:t xml:space="preserve">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In this study, we estimated the abundance of a piscivorous fish predator population in the Deadwater Slough and their potential impacts to juvenile salmon emigrants, focusing on DSR and NRR Chinook Salmon. Our objectives for the study were four-fold: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the total consumption of juvenile DSR and NRR Chinook salmon during defined emigration periods.</w:t>
      </w:r>
    </w:p>
    <w:p>
      <w:pPr>
        <w:numPr>
          <w:ilvl w:val="0"/>
          <w:numId w:val="1001"/>
        </w:numPr>
        <w:pStyle w:val="Compact"/>
      </w:pPr>
      <w:r>
        <w:t xml:space="preserve">Quantify the potential impacts of estimated predation on juvenile to Chinook Salmon adult returns.</w:t>
      </w:r>
    </w:p>
    <w:p>
      <w:pPr>
        <w:pStyle w:val="FirstParagraph"/>
      </w:pPr>
      <w:r>
        <w:t xml:space="preserve">We follow with a discussion of the various assumptions that went into the mark-recapture and bioenergetics models and assessment of impacts to adult returns and how violations of some assumptions may affect overall results and inferences from the study.</w:t>
      </w:r>
    </w:p>
    <w:bookmarkEnd w:id="21"/>
    <w:bookmarkStart w:id="27"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kilometer section of the mainstem Salmon River located roughly 5.8 river kilometers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thereby creating an unnaturally slow and deep section in the river, spanning approximately 30 acres and averaging 68 m width. Both northern pikeminnow</w:t>
      </w:r>
      <w:r>
        <w:t xml:space="preserve"> </w:t>
      </w:r>
      <w:r>
        <w:rPr>
          <w:iCs/>
          <w:i/>
        </w:rPr>
        <w:t xml:space="preserve">Ptychocheilus oregonensis</w:t>
      </w:r>
      <w:r>
        <w:t xml:space="preserve"> </w:t>
      </w:r>
      <w:r>
        <w:t xml:space="preserve">and smallmouth bass</w:t>
      </w:r>
      <w:r>
        <w:t xml:space="preserve"> </w:t>
      </w:r>
      <w:r>
        <w:rPr>
          <w:iCs/>
          <w:i/>
        </w:rPr>
        <w:t xml:space="preserve">Micropterus dolomieu</w:t>
      </w:r>
      <w:r>
        <w:t xml:space="preserve"> </w:t>
      </w:r>
      <w:r>
        <w:t xml:space="preserve">inhabit the slough which likely provides favorable conditions for their feeding and growth (e.g., reduced water velocity, deep channel, warmer water temperature).</w:t>
      </w:r>
    </w:p>
    <w:bookmarkEnd w:id="22"/>
    <w:bookmarkStart w:id="23" w:name="abundance-of-piscivorous-fishes"/>
    <w:p>
      <w:pPr>
        <w:pStyle w:val="Heading2"/>
      </w:pPr>
      <w:r>
        <w:t xml:space="preserve">Abundance of Piscivorous Fishes</w:t>
      </w:r>
    </w:p>
    <w:p>
      <w:pPr>
        <w:pStyle w:val="FirstParagraph"/>
      </w:pPr>
      <w:r>
        <w:rPr>
          <w:bCs/>
          <w:b/>
        </w:rPr>
        <w:t xml:space="preserve">Data = C/M/R and Effort</w:t>
      </w:r>
    </w:p>
    <w:p>
      <w:pPr>
        <w:numPr>
          <w:ilvl w:val="0"/>
          <w:numId w:val="1002"/>
        </w:numPr>
        <w:pStyle w:val="Compact"/>
      </w:pPr>
      <w:r>
        <w:t xml:space="preserve">Capture methods used - We initially attempted electrofishing, snorkeling, netting, others?, but eventually settled on angling as best method for mark-recapture.</w:t>
      </w:r>
    </w:p>
    <w:p>
      <w:pPr>
        <w:numPr>
          <w:ilvl w:val="0"/>
          <w:numId w:val="1002"/>
        </w:numPr>
        <w:pStyle w:val="Compact"/>
      </w:pPr>
      <w:r>
        <w:t xml:space="preserve">Mark-recapture - We kept the mark and recapture events close together in an attempt to use a closed population model</w:t>
      </w:r>
    </w:p>
    <w:p>
      <w:pPr>
        <w:numPr>
          <w:ilvl w:val="0"/>
          <w:numId w:val="1002"/>
        </w:numPr>
        <w:pStyle w:val="Compact"/>
      </w:pPr>
      <w:r>
        <w:t xml:space="preserve">What are the assumptions of a closed population model?</w:t>
      </w:r>
    </w:p>
    <w:p>
      <w:pPr>
        <w:numPr>
          <w:ilvl w:val="0"/>
          <w:numId w:val="1002"/>
        </w:numPr>
        <w:pStyle w:val="Compact"/>
      </w:pPr>
      <w:r>
        <w:t xml:space="preserve">How was sampling performed? What relevant information was captured for each fish? How/where were fish released? How was effort recorded to calculate CPUE?</w:t>
      </w:r>
    </w:p>
    <w:p>
      <w:pPr>
        <w:numPr>
          <w:ilvl w:val="0"/>
          <w:numId w:val="1002"/>
        </w:numPr>
        <w:pStyle w:val="Compact"/>
      </w:pPr>
      <w:r>
        <w:t xml:space="preserve">Description of sampling time frame:</w:t>
      </w:r>
    </w:p>
    <w:p>
      <w:pPr>
        <w:numPr>
          <w:ilvl w:val="1"/>
          <w:numId w:val="1003"/>
        </w:numPr>
        <w:pStyle w:val="Compact"/>
      </w:pPr>
      <w:r>
        <w:t xml:space="preserve">Fall 2019: Goal was to estimate abundance during the peak of DSR emigration i.e., timing was done to coincide to be shortly after peak fall (DSR) emigration at the lower Lemhi River screw trap with the hopes of documenting predation. DSR are the more abundant juvenile emigration tactic.</w:t>
      </w:r>
    </w:p>
    <w:p>
      <w:pPr>
        <w:numPr>
          <w:ilvl w:val="1"/>
          <w:numId w:val="1003"/>
        </w:numPr>
        <w:pStyle w:val="Compact"/>
      </w:pPr>
      <w:r>
        <w:t xml:space="preserve">Fall 2020: Intent was to repeat the above, but instead during peak NRR emigration, but effort canceled due to COVID-19. Instead, sampling was re-schedule to fall when social distancing, etc. could be put in place.</w:t>
      </w:r>
    </w:p>
    <w:p>
      <w:pPr>
        <w:numPr>
          <w:ilvl w:val="1"/>
          <w:numId w:val="1003"/>
        </w:numPr>
        <w:pStyle w:val="Compact"/>
      </w:pPr>
      <w:r>
        <w:t xml:space="preserve">Spring 2021: Did a relative abundance effort during spring 2021. Had to reduce to a CPUE (single-week) effort due to funding constraints. However, goal was to 1) document presence during NRR outmigration and 2) estimate CPUE to provide a relative comparison to the fall efforts.</w:t>
      </w:r>
    </w:p>
    <w:p>
      <w:pPr>
        <w:pStyle w:val="FirstParagraph"/>
      </w:pPr>
      <w:r>
        <w:t xml:space="preserve">All of our estimators rely on meeting several assumptions:</w:t>
      </w:r>
      <w:r>
        <w:t xml:space="preserve"> </w:t>
      </w:r>
      <w:r>
        <w:t xml:space="preserve">1. The population in closed (no immigration, emigration, births or deaths during the sampling period).</w:t>
      </w:r>
      <w:r>
        <w:t xml:space="preserve"> </w:t>
      </w:r>
      <w:r>
        <w:t xml:space="preserve">1. Marking a fish does not affect its chances of being caught</w:t>
      </w:r>
      <w:r>
        <w:t xml:space="preserve"> </w:t>
      </w:r>
      <w:r>
        <w:t xml:space="preserve">1. No loss of marks</w:t>
      </w:r>
      <w:r>
        <w:t xml:space="preserve"> </w:t>
      </w:r>
      <w:r>
        <w:t xml:space="preserve">1. No marks are missed or mistaken</w:t>
      </w:r>
      <w:r>
        <w:t xml:space="preserve"> </w:t>
      </w:r>
      <w:r>
        <w:t xml:space="preserve">1. All fish have the same chance of being caught in the second (and subsequent) sample(s)</w:t>
      </w:r>
    </w:p>
    <w:p>
      <w:pPr>
        <w:pStyle w:val="BodyText"/>
      </w:pPr>
      <w:r>
        <w:t xml:space="preserve">We applied several abundance estimators, which fell into two broad categories: single census and multiple census. For the single census estimators, we treated the first week of sampling as the mark event, and the second week as the recapture event, pooling data within each of those weeks. The multiple census estimators treat each day as a survey, and use information about the total marked fish from all previous surveys to infer the total abundance.</w:t>
      </w:r>
    </w:p>
    <w:p>
      <w:pPr>
        <w:pStyle w:val="BodyText"/>
      </w:pPr>
      <w:r>
        <w:t xml:space="preserve">The Lincoln-Petersen estimator is below, where</w:t>
      </w:r>
      <w:r>
        <w:t xml:space="preserve"> </w:t>
      </w:r>
      <m:oMath>
        <m:r>
          <m:t>M</m:t>
        </m:r>
      </m:oMath>
      <w:r>
        <w:t xml:space="preserve"> </w:t>
      </w:r>
      <w:r>
        <w:t xml:space="preserve">is the number of fish marked and returned to the population,</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 which is shown below.</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The Schnabel estimator is shown below,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In our example, the sampling occasions are defined as each day of sampling. This estimator does not have an associate standard error, but 95% confidence intervals can be calculated. The Schnabel estimator is essentially a weighted average of a series of Lincoln-Petersen estimators (with a Chapman modification).</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There is another estimator for this type of multiple census surveys, called the Schumacher-Eschmeyer estimator, which is based on minimizing the weighted sum of squares between the proportion of marked individuals in the sample and the unknown proportion of marked individuals in the population. It is shown below.</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Additionally, we calculated the proportional stock density (PSD) of Northern Pikeminnow with 300 mm total length (TL) for stock and 400 mm TL for quality.</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w:t>
      </w:r>
    </w:p>
    <w:bookmarkEnd w:id="23"/>
    <w:bookmarkStart w:id="24" w:name="predation-on-juvenile-chinook-salmon"/>
    <w:p>
      <w:pPr>
        <w:pStyle w:val="Heading2"/>
      </w:pPr>
      <w:r>
        <w:t xml:space="preserve">Predation On Juvenile Chinook Salmon</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other fishes (e.g., juvenile steelhead, juvenile Sockeye Salmon, Redside Shiner, etc.), and non-targets (e.g., macroinvertebrates, organic matter, etc.). Stomach contents were preserved with 99% isopropyl alcohol in whirl-paks and analyzed in a laboratory. For each sample, wet weight (grams) was recorded for the combined stomach content and for the fish content. Fish and fish remnants were identified to the lowest taxonomic unit, when possible, or were categorized as unknown. A subset of Northern Pikeminnow captures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consumption of juvenile Chinook Salmon outmigrants by Northern Pikeminnow in the Deadwater Slough, we used the Fish Bioenergetics v4.0 applicatioon developed by</w:t>
      </w:r>
      <w:r>
        <w:t xml:space="preserve"> </w:t>
      </w:r>
      <w:r>
        <w:t xml:space="preserve">Deslauriers et al. (2017)</w:t>
      </w:r>
      <w:r>
        <w:t xml:space="preserve">. The daily rate of consumption in grams for an individual Northern Pikeminnow was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estimate from</w:t>
      </w:r>
      <w:r>
        <w:t xml:space="preserve"> </w:t>
      </w:r>
      <w:r>
        <w:t xml:space="preserve">Moss et al. (2016)</w:t>
      </w:r>
      <w:r>
        <w:t xml:space="preserve">. To calculate the average predator start weight, we converted the average length of Northern Pikeminnow captured during our study to a weight using a weight-length formula for Northern Pikeminnow</w:t>
      </w:r>
      <w:r>
        <w:t xml:space="preserve"> </w:t>
      </w:r>
      <w:r>
        <w:t xml:space="preserve">(Parker et al. 1995)</w:t>
      </w:r>
      <w:r>
        <w:t xml:space="preserve"> </w:t>
      </w:r>
      <w:r>
        <w:t xml:space="preserve">from the FSA package</w:t>
      </w:r>
      <w:r>
        <w:t xml:space="preserve"> </w:t>
      </w:r>
      <w:r>
        <w:t xml:space="preserve">(Ogle et al. 2021)</w:t>
      </w:r>
      <w:r>
        <w:t xml:space="preserve">. Continuous water temperature data from 2019 were used in two alternative models, on using the baseline start and end weights and the second with a 10% increase in average end weight of Northern Pikeminnow.</w:t>
      </w:r>
    </w:p>
    <w:p>
      <w:pPr>
        <w:pStyle w:val="BodyText"/>
      </w:pPr>
      <w:r>
        <w:t xml:space="preserve">We ran three bioenergetic models for this study. For the first model, we chose a 78-day period from September 1 through November 17 when DSR emigrants are known to enter the mainstem Salmon River from natal tributaries (e.g., Lemhi River) and begin their downstream migration. During this time, water temperatures exceed the range (0-7</w:t>
      </w:r>
      <m:oMath>
        <m:sSup>
          <m:e>
            <m:r>
              <m:t>​</m:t>
            </m:r>
          </m:e>
          <m:sup>
            <m:r>
              <m:rPr>
                <m:sty m:val="p"/>
              </m:rPr>
              <m:t>∘</m:t>
            </m:r>
          </m:sup>
        </m:sSup>
      </m:oMath>
      <w:r>
        <w:t xml:space="preserve">C) that would illicit concealment behavior or torpor from juvenile Chinook Salmon. This model assumed no growth for Northern Pikeminnow. The second model was run for one-year and assumed no growth for Northern Pikeminnow. The assumption of no growth for pikeminnow was included to show what may be occurring if the populaiton of Northern Pikeminnow is stable. If growth of the population is occurring, the alternative model shows how an increase of 10% body weight changes the estimtes of consumption over a full year period. To estimate the number of possible Chinook Salmon that could be consumed, we assumed a weight of 12 g per individual Chinook Salmon.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5"/>
    <w:bookmarkStart w:id="26"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bookmarkEnd w:id="26"/>
    <w:bookmarkEnd w:id="27"/>
    <w:bookmarkStart w:id="32" w:name="results"/>
    <w:p>
      <w:pPr>
        <w:pStyle w:val="Heading1"/>
      </w:pPr>
      <w:r>
        <w:t xml:space="preserve">Results</w:t>
      </w:r>
    </w:p>
    <w:bookmarkStart w:id="28" w:name="abundance-of-piscivorous-fishes-1"/>
    <w:p>
      <w:pPr>
        <w:pStyle w:val="Heading2"/>
      </w:pPr>
      <w:r>
        <w:t xml:space="preserve">Abundance of Piscivorous Fishes</w:t>
      </w:r>
    </w:p>
    <w:p>
      <w:pPr>
        <w:pStyle w:val="FirstParagraph"/>
      </w:pPr>
      <w:r>
        <w:t xml:space="preserve">Abundance estimates for northern pikeminnow during the fall sampling events ranged from 13,298 to 43,279. The multiple census estimators were consistently larger than the single census estimators, although the size of the 95% confidence intervals were more varied.</w:t>
      </w:r>
    </w:p>
    <w:p>
      <w:pPr>
        <w:pStyle w:val="BodyText"/>
      </w:pPr>
      <w:r>
        <w:t xml:space="preserve">PSD for northern pikeminnow across all three years was 42.26% or 42.26% of fish were over the quality size classification 400 mm TL we denoted in the Methods, demonstrating a high percentage of above average size classes present within Deadwater Slough.</w:t>
      </w:r>
    </w:p>
    <w:bookmarkEnd w:id="28"/>
    <w:bookmarkStart w:id="29" w:name="predation-on-juvenile-chinook-salmon-1"/>
    <w:p>
      <w:pPr>
        <w:pStyle w:val="Heading2"/>
      </w:pPr>
      <w:r>
        <w:t xml:space="preserve">Predation On Juvenile Chinook Salmon</w:t>
      </w:r>
    </w:p>
    <w:p>
      <w:pPr>
        <w:pStyle w:val="FirstParagraph"/>
      </w:pPr>
      <w:r>
        <w:t xml:space="preserve">During 2019, 660 Northern Pikeminnow were gastric lavaged. Of those fish, we observed 603 individuals with empty stomachs, and 57 individuals with stomach contents. Twelve of the samples contained fish remnants including a single Mountain Whitefish and two Redside Shiners. During the 2020 season, 805 Northern Pikeminnow were gastric lavaged comprised of 613 individuals with empty stomachs and 188 individuals with stomach contents. Twenty-three individuals had fish remnants in their stomach contents including ten with unidentifiable remnants, six Redside Shiners, four suckers, two sculpin, and one juvenile Chinook Salmon. In 2021, we collected stomach contents from 105 Northern Pikeminnow with 98 containing non-fish prey items and observed seven containing fish remnants.</w:t>
      </w:r>
    </w:p>
    <w:bookmarkEnd w:id="29"/>
    <w:bookmarkStart w:id="30" w:name="bioenergetics-1"/>
    <w:p>
      <w:pPr>
        <w:pStyle w:val="Heading2"/>
      </w:pPr>
      <w:r>
        <w:t xml:space="preserve">Bioenergetics</w:t>
      </w:r>
    </w:p>
    <w:p>
      <w:pPr>
        <w:pStyle w:val="FirstParagraph"/>
      </w:pPr>
      <w:r>
        <w:t xml:space="preserve">Over the fall time period a single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30"/>
    <w:bookmarkStart w:id="31" w:name="impacts-to-adult-returns-1"/>
    <w:p>
      <w:pPr>
        <w:pStyle w:val="Heading2"/>
      </w:pPr>
      <w:r>
        <w:t xml:space="preserve">Impacts to Adult Returns</w:t>
      </w:r>
    </w:p>
    <w:p>
      <w:pPr>
        <w:numPr>
          <w:ilvl w:val="0"/>
          <w:numId w:val="1004"/>
        </w:numPr>
        <w:pStyle w:val="Compact"/>
      </w:pPr>
      <w:r>
        <w:t xml:space="preserve">SAR results. Maybe a plot of multiple scenarios depending on gastric lavage results? And pop estimates if they vary in time.</w:t>
      </w:r>
    </w:p>
    <w:bookmarkEnd w:id="31"/>
    <w:bookmarkEnd w:id="32"/>
    <w:bookmarkStart w:id="42"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3" w:name="mark-recapture-model"/>
    <w:p>
      <w:pPr>
        <w:pStyle w:val="Heading2"/>
      </w:pPr>
      <w:r>
        <w:t xml:space="preserve">Mark-Recapture Model</w:t>
      </w:r>
    </w:p>
    <w:bookmarkEnd w:id="33"/>
    <w:bookmarkStart w:id="34" w:name="gastric-lavage"/>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4"/>
    <w:bookmarkStart w:id="35"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5"/>
    <w:bookmarkStart w:id="36" w:name="impacts-to-adult-returns-2"/>
    <w:p>
      <w:pPr>
        <w:pStyle w:val="Heading2"/>
      </w:pPr>
      <w:r>
        <w:t xml:space="preserve">Impacts to Adult Returns</w:t>
      </w:r>
    </w:p>
    <w:p>
      <w:pPr>
        <w:pStyle w:val="FirstParagraph"/>
      </w:pPr>
      <w:r>
        <w:t xml:space="preserve">Again, what assumptions did we make here and how might violations of those assumptions change our estimate of impacts to adult returns.</w:t>
      </w:r>
    </w:p>
    <w:bookmarkEnd w:id="36"/>
    <w:bookmarkStart w:id="39"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9"/>
    <w:bookmarkStart w:id="40"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40"/>
    <w:bookmarkStart w:id="41" w:name="conclusions"/>
    <w:p>
      <w:pPr>
        <w:pStyle w:val="Heading2"/>
      </w:pPr>
      <w:r>
        <w:t xml:space="preserve">Conclusions</w:t>
      </w:r>
    </w:p>
    <w:p>
      <w:pPr>
        <w:numPr>
          <w:ilvl w:val="0"/>
          <w:numId w:val="1005"/>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5"/>
        </w:numPr>
        <w:pStyle w:val="Compact"/>
      </w:pPr>
      <w:r>
        <w:t xml:space="preserve">The end.</w:t>
      </w:r>
    </w:p>
    <w:bookmarkEnd w:id="41"/>
    <w:bookmarkEnd w:id="42"/>
    <w:bookmarkStart w:id="43"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3"/>
    <w:bookmarkStart w:id="73" w:name="literature-cited"/>
    <w:p>
      <w:pPr>
        <w:pStyle w:val="Heading1"/>
      </w:pPr>
      <w:r>
        <w:t xml:space="preserve">Literature Cited</w:t>
      </w:r>
    </w:p>
    <w:bookmarkStart w:id="72" w:name="refs"/>
    <w:bookmarkStart w:id="44"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4"/>
    <w:bookmarkStart w:id="45"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5"/>
    <w:bookmarkStart w:id="46" w:name="ref-Beamesderfer1996"/>
    <w:p>
      <w:pPr>
        <w:pStyle w:val="Bibliography"/>
      </w:pPr>
      <w:r>
        <w:t xml:space="preserve">Beamesderfer, C. P., D. L. Ward, and A. A. Nigro. 1996. Evaluation of the biological basis for a predator control program on northern pikeminnow (</w:t>
      </w:r>
      <w:r>
        <w:rPr>
          <w:iCs/>
          <w:i/>
        </w:rPr>
        <w:t xml:space="preserve">Ptychocheilus</w:t>
      </w:r>
      <w:r>
        <w:t xml:space="preserve"> </w:t>
      </w:r>
      <w:r>
        <w:rPr>
          <w:iCs/>
          <w:i/>
        </w:rPr>
        <w:t xml:space="preserve">Oregonensis</w:t>
      </w:r>
      <w:r>
        <w:t xml:space="preserve"> </w:t>
      </w:r>
      <w:r>
        <w:t xml:space="preserve">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53:2898–2908.</w:t>
      </w:r>
    </w:p>
    <w:bookmarkEnd w:id="46"/>
    <w:bookmarkStart w:id="47"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7"/>
    <w:bookmarkStart w:id="48"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w:t>
      </w:r>
      <w:r>
        <w:t xml:space="preserve">-</w:t>
      </w:r>
      <w:r>
        <w:t xml:space="preserve">Based Modeling Application</w:t>
      </w:r>
      <w:r>
        <w:t xml:space="preserve">. Fisheries 42(11):586–596.</w:t>
      </w:r>
    </w:p>
    <w:bookmarkEnd w:id="48"/>
    <w:bookmarkStart w:id="49" w:name="ref-eBird2021"/>
    <w:p>
      <w:pPr>
        <w:pStyle w:val="Bibliography"/>
      </w:pPr>
      <w:r>
        <w:t xml:space="preserve">eBird. 2021.</w:t>
      </w:r>
      <w:r>
        <w:t xml:space="preserve"> </w:t>
      </w:r>
      <w:r>
        <w:t xml:space="preserve">eBird</w:t>
      </w:r>
      <w:r>
        <w:t xml:space="preserve">: An 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 November 10, 2021.</w:t>
      </w:r>
    </w:p>
    <w:bookmarkEnd w:id="49"/>
    <w:bookmarkStart w:id="50" w:name="ref-Erhardt2018"/>
    <w:p>
      <w:pPr>
        <w:pStyle w:val="Bibliography"/>
      </w:pPr>
      <w:r>
        <w:t xml:space="preserve">Erhardt, J. M., K. F. Tiffan, and W. P. Connor. 2018. Juvenile</w:t>
      </w:r>
      <w:r>
        <w:t xml:space="preserve"> </w:t>
      </w:r>
      <w:r>
        <w:t xml:space="preserve">Chinook Salmon Mortality</w:t>
      </w:r>
      <w:r>
        <w:t xml:space="preserve"> </w:t>
      </w:r>
      <w:r>
        <w:t xml:space="preserve">in a</w:t>
      </w:r>
      <w:r>
        <w:t xml:space="preserve"> </w:t>
      </w:r>
      <w:r>
        <w:t xml:space="preserve">Snake River Reservoir</w:t>
      </w:r>
      <w:r>
        <w:t xml:space="preserve">: Smallmouth</w:t>
      </w:r>
      <w:r>
        <w:t xml:space="preserve"> </w:t>
      </w:r>
      <w:r>
        <w:t xml:space="preserve">Bass Predation Revisited</w:t>
      </w:r>
      <w:r>
        <w:t xml:space="preserve">. Transactions of the American Fisheries Society 147(2):316–328.</w:t>
      </w:r>
    </w:p>
    <w:bookmarkEnd w:id="50"/>
    <w:bookmarkStart w:id="51"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51"/>
    <w:bookmarkStart w:id="52"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 Spatial 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2"/>
    <w:bookmarkStart w:id="53"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3"/>
    <w:bookmarkStart w:id="54" w:name="ref-Gosselin2021"/>
    <w:p>
      <w:pPr>
        <w:pStyle w:val="Bibliography"/>
      </w:pPr>
      <w:r>
        <w:t xml:space="preserve">Gosselin, J. L., E. R. Buhle, C. Van Holmes, W. N. Beer, S. Iltis, and J. J. Anderson. 2021. Role of carryover effects in conservation of wild</w:t>
      </w:r>
      <w:r>
        <w:t xml:space="preserve"> </w:t>
      </w:r>
      <w:r>
        <w:t xml:space="preserve">Pacific</w:t>
      </w:r>
      <w:r>
        <w:t xml:space="preserve"> </w:t>
      </w:r>
      <w:r>
        <w:t xml:space="preserve">salmon migrating regulated rivers. Ecosphere 12(7).</w:t>
      </w:r>
    </w:p>
    <w:bookmarkEnd w:id="54"/>
    <w:bookmarkStart w:id="55"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5"/>
    <w:bookmarkStart w:id="56" w:name="ref-Knutsen1999"/>
    <w:p>
      <w:pPr>
        <w:pStyle w:val="Bibliography"/>
      </w:pPr>
      <w:r>
        <w:t xml:space="preserve">Knutsen, C. J., and D. L. Ward. 1999. Biological</w:t>
      </w:r>
      <w:r>
        <w:t xml:space="preserve"> </w:t>
      </w:r>
      <w:r>
        <w:t xml:space="preserve">Characteristics</w:t>
      </w:r>
      <w:r>
        <w:t xml:space="preserve"> </w:t>
      </w:r>
      <w:r>
        <w:t xml:space="preserve">of</w:t>
      </w:r>
      <w:r>
        <w:t xml:space="preserve"> </w:t>
      </w:r>
      <w:r>
        <w:t xml:space="preserve">Northern Pikeminnow</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w:t>
      </w:r>
      <w:r>
        <w:t xml:space="preserve">before and after</w:t>
      </w:r>
      <w:r>
        <w:t xml:space="preserve"> </w:t>
      </w:r>
      <w:r>
        <w:t xml:space="preserve">Sustained Exploitation</w:t>
      </w:r>
      <w:r>
        <w:t xml:space="preserve">. Transactions of the American Fisheries Society 128(6):1008–1019.</w:t>
      </w:r>
    </w:p>
    <w:bookmarkEnd w:id="56"/>
    <w:bookmarkStart w:id="57"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57"/>
    <w:bookmarkStart w:id="58" w:name="ref-McCann2019"/>
    <w:p>
      <w:pPr>
        <w:pStyle w:val="Bibliography"/>
      </w:pPr>
      <w:r>
        <w:t xml:space="preserve">McCann, J., B. Chockley, E. Cooper, Hsu Bobby, S. Haeseker, R. Lessard, T. Copeland, E. Tinus, A. Storch, and D. Rawding. 2019. Comparative survival study of</w:t>
      </w:r>
      <w:r>
        <w:t xml:space="preserve"> </w:t>
      </w:r>
      <w:r>
        <w:t xml:space="preserve">PIT</w:t>
      </w:r>
      <w:r>
        <w:t xml:space="preserve">-tagged spring/summer/fall</w:t>
      </w:r>
      <w:r>
        <w:t xml:space="preserve"> </w:t>
      </w:r>
      <w:r>
        <w:t xml:space="preserve">C</w:t>
      </w:r>
      <w:r>
        <w:t xml:space="preserve">hinook, summer steelhead, and sockeye 2019 annual report. Citeseer.</w:t>
      </w:r>
    </w:p>
    <w:bookmarkEnd w:id="58"/>
    <w:bookmarkStart w:id="59"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59"/>
    <w:bookmarkStart w:id="60" w:name="ref-Moss2016"/>
    <w:p>
      <w:pPr>
        <w:pStyle w:val="Bibliography"/>
      </w:pPr>
      <w:r>
        <w:t xml:space="preserve">Moss, J. H., J. M. Murphy, E. A. Fergusson, and R. A. Heintz. 2016. Energy dynamics and growth of juvenile</w:t>
      </w:r>
      <w:r>
        <w:t xml:space="preserve"> </w:t>
      </w:r>
      <w:r>
        <w:t xml:space="preserve">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 chum (</w:t>
      </w:r>
      <w:r>
        <w:t xml:space="preserve"> </w:t>
      </w:r>
      <w:r>
        <w:t xml:space="preserve"> </w:t>
      </w:r>
      <w:r>
        <w:rPr>
          <w:iCs/>
          <w:i/>
        </w:rPr>
        <w:t xml:space="preserve">O</w:t>
      </w:r>
      <w:r>
        <w:rPr>
          <w:iCs/>
          <w:i/>
        </w:rPr>
        <w:t xml:space="preserve">. Keta</w:t>
      </w:r>
      <w:r>
        <w:t xml:space="preserve"> </w:t>
      </w:r>
      <w:r>
        <w:t xml:space="preserve">) salmon in the eastern</w:t>
      </w:r>
      <w:r>
        <w:t xml:space="preserve"> </w:t>
      </w:r>
      <w:r>
        <w:t xml:space="preserve">Gulf</w:t>
      </w:r>
      <w:r>
        <w:t xml:space="preserve"> </w:t>
      </w:r>
      <w:r>
        <w:t xml:space="preserve">of</w:t>
      </w:r>
      <w:r>
        <w:t xml:space="preserve"> </w:t>
      </w:r>
      <w:r>
        <w:t xml:space="preserve">Alaska</w:t>
      </w:r>
      <w:r>
        <w:t xml:space="preserve"> </w:t>
      </w:r>
      <w:r>
        <w:t xml:space="preserve">and northern</w:t>
      </w:r>
      <w:r>
        <w:t xml:space="preserve"> </w:t>
      </w:r>
      <w:r>
        <w:t xml:space="preserve">Bering Sea</w:t>
      </w:r>
      <w:r>
        <w:t xml:space="preserve">. North Pacific Anadromous Fish Commission Bulletin No. 6:161–168.</w:t>
      </w:r>
    </w:p>
    <w:bookmarkEnd w:id="60"/>
    <w:bookmarkStart w:id="61"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61"/>
    <w:bookmarkStart w:id="62" w:name="ref-Ogle2021"/>
    <w:p>
      <w:pPr>
        <w:pStyle w:val="Bibliography"/>
      </w:pPr>
      <w:r>
        <w:t xml:space="preserve">Ogle, D. H., J. C. Doll, P. Wheeler, and A. Dinno. 2021.</w:t>
      </w:r>
      <w:r>
        <w:t xml:space="preserve"> </w:t>
      </w:r>
      <w:r>
        <w:t xml:space="preserve">FSA</w:t>
      </w:r>
      <w:r>
        <w:t xml:space="preserve">: Fisheries</w:t>
      </w:r>
      <w:r>
        <w:t xml:space="preserve"> </w:t>
      </w:r>
      <w:r>
        <w:t xml:space="preserve">Stock Analysis</w:t>
      </w:r>
      <w:r>
        <w:t xml:space="preserve">.</w:t>
      </w:r>
      <w:r>
        <w:t xml:space="preserve"> </w:t>
      </w:r>
      <w:r>
        <w:t xml:space="preserve">R</w:t>
      </w:r>
      <w:r>
        <w:t xml:space="preserve"> </w:t>
      </w:r>
      <w:r>
        <w:t xml:space="preserve">package version 0.9.1.</w:t>
      </w:r>
    </w:p>
    <w:bookmarkEnd w:id="62"/>
    <w:bookmarkStart w:id="63" w:name="ref-IdahoOSCTeam2019"/>
    <w:p>
      <w:pPr>
        <w:pStyle w:val="Bibliography"/>
      </w:pPr>
      <w:r>
        <w:t xml:space="preserve">OSC Team (Idaho Governor’s Office of Species Conservation and partners). 2019. Upper</w:t>
      </w:r>
      <w:r>
        <w:t xml:space="preserve"> </w:t>
      </w:r>
      <w:r>
        <w:t xml:space="preserve">Salmon Subbasin Habitat Integrated Rehabilitation Assessment</w:t>
      </w:r>
      <w:r>
        <w:t xml:space="preserve">.</w:t>
      </w:r>
      <w:r>
        <w:t xml:space="preserve"> </w:t>
      </w:r>
      <w:r>
        <w:t xml:space="preserve">Assessment</w:t>
      </w:r>
      <w:r>
        <w:t xml:space="preserve"> </w:t>
      </w:r>
      <w:r>
        <w:t xml:space="preserve">prepared for and with the</w:t>
      </w:r>
      <w:r>
        <w:t xml:space="preserve"> </w:t>
      </w:r>
      <w:r>
        <w:t xml:space="preserve">U</w:t>
      </w:r>
      <w:r>
        <w:t xml:space="preserve">.</w:t>
      </w:r>
      <w:r>
        <w:t xml:space="preserve">S</w:t>
      </w:r>
      <w:r>
        <w:t xml:space="preserve">.</w:t>
      </w:r>
      <w:r>
        <w:t xml:space="preserve"> </w:t>
      </w:r>
      <w:r>
        <w:t xml:space="preserve">Department</w:t>
      </w:r>
      <w:r>
        <w:t xml:space="preserve"> </w:t>
      </w:r>
      <w:r>
        <w:t xml:space="preserve">of the</w:t>
      </w:r>
      <w:r>
        <w:t xml:space="preserve"> </w:t>
      </w:r>
      <w:r>
        <w:t xml:space="preserve">Interior</w:t>
      </w:r>
      <w:r>
        <w:t xml:space="preserve">,</w:t>
      </w:r>
      <w:r>
        <w:t xml:space="preserve"> </w:t>
      </w:r>
      <w:r>
        <w:t xml:space="preserve">Bureau</w:t>
      </w:r>
      <w:r>
        <w:t xml:space="preserve"> </w:t>
      </w:r>
      <w:r>
        <w:t xml:space="preserve">of</w:t>
      </w:r>
      <w:r>
        <w:t xml:space="preserve"> </w:t>
      </w:r>
      <w:r>
        <w:t xml:space="preserve">Reclamation</w:t>
      </w:r>
      <w:r>
        <w:t xml:space="preserve">.</w:t>
      </w:r>
      <w:r>
        <w:t xml:space="preserve"> </w:t>
      </w:r>
      <w:r>
        <w:t xml:space="preserve">June</w:t>
      </w:r>
      <w:r>
        <w:t xml:space="preserve"> </w:t>
      </w:r>
      <w:r>
        <w:t xml:space="preserve">2019. Page 625.</w:t>
      </w:r>
    </w:p>
    <w:bookmarkEnd w:id="63"/>
    <w:bookmarkStart w:id="64"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64"/>
    <w:bookmarkStart w:id="65"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65"/>
    <w:bookmarkStart w:id="66" w:name="ref-Schaller2014"/>
    <w:p>
      <w:pPr>
        <w:pStyle w:val="Bibliography"/>
      </w:pPr>
      <w:r>
        <w:t xml:space="preserve">Schaller, H. A., C. E. Petrosky, and E. S. Tinus. 2014. Evaluating river management during seaward migration to recover</w:t>
      </w:r>
      <w:r>
        <w:t xml:space="preserve"> </w:t>
      </w:r>
      <w:r>
        <w:t xml:space="preserve">Columbia River</w:t>
      </w:r>
      <w:r>
        <w:t xml:space="preserve"> </w:t>
      </w:r>
      <w:r>
        <w:t xml:space="preserve">stream-type</w:t>
      </w:r>
      <w:r>
        <w:t xml:space="preserve"> </w:t>
      </w:r>
      <w:r>
        <w:t xml:space="preserve">Chinook</w:t>
      </w:r>
      <w:r>
        <w:t xml:space="preserve"> </w:t>
      </w:r>
      <w:r>
        <w:t xml:space="preserve">salmon considering the variation in marine conditions. Canadian Journal of Fisheries and Aquatic Sciences 71(2):259–271.</w:t>
      </w:r>
    </w:p>
    <w:bookmarkEnd w:id="66"/>
    <w:bookmarkStart w:id="67" w:name="ref-Venditti2000"/>
    <w:p>
      <w:pPr>
        <w:pStyle w:val="Bibliography"/>
      </w:pPr>
      <w:r>
        <w:t xml:space="preserve">Venditti, D. A., D. W. Rondorf, and J. M. Kraut. 2000. Migratory behavior, and forebay delay of radio-tagged juvenile fall chinook salmon in a lower</w:t>
      </w:r>
      <w:r>
        <w:t xml:space="preserve"> </w:t>
      </w:r>
      <w:r>
        <w:t xml:space="preserve">Snake River</w:t>
      </w:r>
      <w:r>
        <w:t xml:space="preserve"> </w:t>
      </w:r>
      <w:r>
        <w:t xml:space="preserve">impoundment. North American Journal of Fisheries Management 20:41–52.</w:t>
      </w:r>
    </w:p>
    <w:bookmarkEnd w:id="67"/>
    <w:bookmarkStart w:id="68"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68"/>
    <w:bookmarkStart w:id="69"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and</w:t>
      </w:r>
      <w:r>
        <w:t xml:space="preserve"> </w:t>
      </w:r>
      <w:r>
        <w:t xml:space="preserve">Side</w:t>
      </w:r>
      <w:r>
        <w:t xml:space="preserve">-</w:t>
      </w:r>
      <w:r>
        <w:t xml:space="preserv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69"/>
    <w:bookmarkStart w:id="70" w:name="ref-Welch2021"/>
    <w:p>
      <w:pPr>
        <w:pStyle w:val="Bibliography"/>
      </w:pPr>
      <w:r>
        <w:t xml:space="preserve">Welch, D. W., A. D. Porter, and E. L. Rechisky. 2021. A synthesis of the coast-wide decline in survival of</w:t>
      </w:r>
      <w:r>
        <w:t xml:space="preserve"> </w:t>
      </w:r>
      <w:r>
        <w:t xml:space="preserve">West Coast Chinook Salmon</w:t>
      </w:r>
      <w:r>
        <w:t xml:space="preserve"> </w:t>
      </w:r>
      <w:r>
        <w:t xml:space="preserve">(</w:t>
      </w:r>
      <w:r>
        <w:t xml:space="preserve"> </w:t>
      </w:r>
      <w:r>
        <w:rPr>
          <w:iCs/>
          <w:i/>
        </w:rPr>
        <w:t xml:space="preserve">Oncorhynchus</w:t>
      </w:r>
      <w:r>
        <w:t xml:space="preserve"> </w:t>
      </w:r>
      <w:r>
        <w:rPr>
          <w:iCs/>
          <w:i/>
        </w:rPr>
        <w:t xml:space="preserve">Tshawytscha,</w:t>
      </w:r>
      <w:r>
        <w:t xml:space="preserve"> </w:t>
      </w:r>
      <w:r>
        <w:t xml:space="preserve">Salmonidae</w:t>
      </w:r>
      <w:r>
        <w:t xml:space="preserve">). Fish and Fisheries 22(1):194–211.</w:t>
      </w:r>
    </w:p>
    <w:bookmarkEnd w:id="70"/>
    <w:bookmarkStart w:id="71" w:name="ref-Widener2021"/>
    <w:p>
      <w:pPr>
        <w:pStyle w:val="Bibliography"/>
      </w:pPr>
      <w:r>
        <w:t xml:space="preserve">Widener, D. L., J. R. Faulkner, S. G. Smith, T. M. Marsh, and R. W. Zabel. 2021. Survival</w:t>
      </w:r>
      <w:r>
        <w:t xml:space="preserve"> </w:t>
      </w:r>
      <w:r>
        <w:t xml:space="preserve">Estimates</w:t>
      </w:r>
      <w:r>
        <w:t xml:space="preserve"> </w:t>
      </w:r>
      <w:r>
        <w:t xml:space="preserve">for the</w:t>
      </w:r>
      <w:r>
        <w:t xml:space="preserve"> </w:t>
      </w:r>
      <w:r>
        <w:t xml:space="preserve">Passage</w:t>
      </w:r>
      <w:r>
        <w:t xml:space="preserve"> </w:t>
      </w:r>
      <w:r>
        <w:t xml:space="preserve">of</w:t>
      </w:r>
      <w:r>
        <w:t xml:space="preserve"> </w:t>
      </w:r>
      <w:r>
        <w:t xml:space="preserve">Spring</w:t>
      </w:r>
      <w:r>
        <w:t xml:space="preserve">-migrating</w:t>
      </w:r>
      <w:r>
        <w:t xml:space="preserve"> </w:t>
      </w:r>
      <w:r>
        <w:t xml:space="preserve">Juvenile Salmonids Through Snake</w:t>
      </w:r>
      <w:r>
        <w:t xml:space="preserve"> </w:t>
      </w:r>
      <w:r>
        <w:t xml:space="preserve">and</w:t>
      </w:r>
      <w:r>
        <w:t xml:space="preserve"> </w:t>
      </w:r>
      <w:r>
        <w:t xml:space="preserve">Columbia River Dams</w:t>
      </w:r>
      <w:r>
        <w:t xml:space="preserve"> </w:t>
      </w:r>
      <w:r>
        <w:t xml:space="preserve">and</w:t>
      </w:r>
      <w:r>
        <w:t xml:space="preserve"> </w:t>
      </w:r>
      <w:r>
        <w:t xml:space="preserve">Reservoirs</w:t>
      </w:r>
      <w:r>
        <w:t xml:space="preserve">, 2020. U.S. Department of Commerce, NOAA Contract Report NMFS-NWFSC-CR-2021-05.</w:t>
      </w:r>
    </w:p>
    <w:bookmarkEnd w:id="71"/>
    <w:bookmarkEnd w:id="72"/>
    <w:p>
      <w:r>
        <w:br w:type="page"/>
      </w:r>
    </w:p>
    <w:bookmarkEnd w:id="73"/>
    <w:bookmarkStart w:id="75" w:name="tables"/>
    <w:p>
      <w:pPr>
        <w:pStyle w:val="Heading1"/>
      </w:pPr>
      <w:r>
        <w:t xml:space="preserve">Tables</w:t>
      </w:r>
    </w:p>
    <w:bookmarkStart w:id="74" w:name="tables"/>
    <w:bookmarkEnd w:id="74"/>
    <w:p>
      <w:pPr>
        <w:pStyle w:val="TableCaption"/>
      </w:pPr>
      <w:r>
        <w:t xml:space="preserve">Table 1: Data summary for single census estimators. M is the number of fish caught in the first sample, marked and returned to the population. n is the number of fish caught in the second sample, and m is the number of marked fish caught in the second sample.</w:t>
      </w:r>
    </w:p>
    <w:tbl>
      <w:tblPr>
        <w:tblStyle w:val="Table"/>
        <w:tblW w:type="auto" w:w="0"/>
        <w:tblLook w:firstRow="1" w:lastRow="0" w:firstColumn="0" w:lastColumn="0" w:noHBand="0" w:noVBand="0" w:val="0020"/>
        <w:tblCaption w:val="Table 1: Data summary for single census estimators. M is the number of fish caught in the first sample, marked and returned to the population. n is the number of fish caught in the second sample, and m is the number of marked fish caught in the second sample."/>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 census estimators. n is number of fish caught, m is the number of marked fish caught,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 census estimators. n is number of fish caught, m is the number of marked fish caugh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Temporary caption.</w:t>
      </w:r>
    </w:p>
    <w:tbl>
      <w:tblPr>
        <w:tblStyle w:val="Table"/>
        <w:tblW w:type="auto" w:w="0"/>
        <w:tblLook w:firstRow="1" w:lastRow="0" w:firstColumn="0" w:lastColumn="0" w:noHBand="0" w:noVBand="0" w:val="0020"/>
        <w:tblCaption w:val="Table 3: Temporary caption."/>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bookmarkEnd w:id="75"/>
    <w:bookmarkStart w:id="85" w:name="figures"/>
    <w:p>
      <w:pPr>
        <w:pStyle w:val="Heading1"/>
      </w:pPr>
      <w:r>
        <w:t xml:space="preserve">Figures</w:t>
      </w:r>
    </w:p>
    <w:bookmarkStart w:id="76" w:name="figures"/>
    <w:bookmarkEnd w:id="76"/>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77"/>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using different estimators." title="" id="1" name="Picture"/>
            <a:graphic>
              <a:graphicData uri="http://schemas.openxmlformats.org/drawingml/2006/picture">
                <pic:pic>
                  <pic:nvPicPr>
                    <pic:cNvPr descr="../figures/abund-fig-1.png" id="0" name="Picture"/>
                    <pic:cNvPicPr>
                      <a:picLocks noChangeArrowheads="1" noChangeAspect="1"/>
                    </pic:cNvPicPr>
                  </pic:nvPicPr>
                  <pic:blipFill>
                    <a:blip r:embed="rId7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estimators.</w:t>
      </w:r>
    </w:p>
    <w:p>
      <w:r>
        <w:br w:type="page"/>
      </w:r>
    </w:p>
    <w:p>
      <w:pPr>
        <w:pStyle w:val="CaptionedFigure"/>
      </w:pPr>
      <w:r>
        <w:drawing>
          <wp:inline>
            <wp:extent cx="5504749" cy="3669832"/>
            <wp:effectExtent b="0" l="0" r="0" t="0"/>
            <wp:docPr descr="Figure 3: Total catch per unit effort across entire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7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Total catch per unit effort across entire sampling event.</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8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8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82"/>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p>
      <w:pPr>
        <w:pStyle w:val="BodyText"/>
      </w:pPr>
      <w:r>
        <w:drawing>
          <wp:inline>
            <wp:extent cx="5504749" cy="3669832"/>
            <wp:effectExtent b="0" l="0" r="0" t="0"/>
            <wp:docPr descr="" title="" id="1" name="Picture"/>
            <a:graphic>
              <a:graphicData uri="http://schemas.openxmlformats.org/drawingml/2006/picture">
                <pic:pic>
                  <pic:nvPicPr>
                    <pic:cNvPr descr="../figures/adult-imp-p-1.png" id="0" name="Picture"/>
                    <pic:cNvPicPr>
                      <a:picLocks noChangeArrowheads="1" noChangeAspect="1"/>
                    </pic:cNvPicPr>
                  </pic:nvPicPr>
                  <pic:blipFill>
                    <a:blip r:embed="rId83"/>
                    <a:stretch>
                      <a:fillRect/>
                    </a:stretch>
                  </pic:blipFill>
                  <pic:spPr bwMode="auto">
                    <a:xfrm>
                      <a:off x="0" y="0"/>
                      <a:ext cx="5504749" cy="3669832"/>
                    </a:xfrm>
                    <a:prstGeom prst="rect">
                      <a:avLst/>
                    </a:prstGeom>
                    <a:noFill/>
                    <a:ln w="9525">
                      <a:noFill/>
                      <a:headEnd/>
                      <a:tailEnd/>
                    </a:ln>
                  </pic:spPr>
                </pic:pic>
              </a:graphicData>
            </a:graphic>
          </wp:inline>
        </w:drawing>
      </w:r>
    </w:p>
    <w:p>
      <w:r>
        <w:br w:type="page"/>
      </w:r>
    </w:p>
    <w:bookmarkStart w:id="84" w:name="colophon"/>
    <w:p>
      <w:pPr>
        <w:pStyle w:val="Heading3"/>
      </w:pPr>
      <w:r>
        <w:t xml:space="preserve">Colophon</w:t>
      </w:r>
    </w:p>
    <w:p>
      <w:pPr>
        <w:pStyle w:val="FirstParagraph"/>
      </w:pPr>
      <w:r>
        <w:t xml:space="preserve">This report was generated on 2021-11-24 07:33:42 using the following computational environment and dependencies:</w:t>
      </w:r>
    </w:p>
    <w:p>
      <w:pPr>
        <w:pStyle w:val="SourceCode"/>
      </w:pPr>
      <w:r>
        <w:rPr>
          <w:rStyle w:val="VerbatimChar"/>
        </w:rPr>
        <w:t xml:space="preserve">#&gt; - Session info  --------------------------------------------------------------</w:t>
      </w:r>
      <w:r>
        <w:br/>
      </w:r>
      <w:r>
        <w:rPr>
          <w:rStyle w:val="VerbatimChar"/>
        </w:rPr>
        <w:t xml:space="preserve">#&gt;  hash: telescope, frog, flag: Sri Lanka</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2021-11-24</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[bef898f] 2021-11-24: Merge branch 'main' of https://github.com/BiomarkABS/DeadwaterPaper</w:t>
      </w:r>
    </w:p>
    <w:bookmarkEnd w:id="84"/>
    <w:bookmarkEnd w:id="85"/>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83" Target="media/rId83.png" /><Relationship Type="http://schemas.openxmlformats.org/officeDocument/2006/relationships/image" Id="rId79" Target="media/rId79.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Blackman3, and Michael W. Ackerman1,3</dc:creator>
  <cp:keywords/>
  <dcterms:created xsi:type="dcterms:W3CDTF">2021-11-24T14:33:45Z</dcterms:created>
  <dcterms:modified xsi:type="dcterms:W3CDTF">2021-11-24T14:33:45Z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24 November,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